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78" w:rsidRDefault="001E4278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F5C" w:rsidRDefault="00A65F5C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4278" w:rsidRDefault="001E4278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7D" w:rsidRPr="00D47FCC" w:rsidRDefault="007D3B7D" w:rsidP="007D3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</w:t>
      </w:r>
    </w:p>
    <w:p w:rsidR="007D3B7D" w:rsidRPr="00D47FCC" w:rsidRDefault="007D3B7D" w:rsidP="007D3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НЮКСЕНСКОГО МУНИЦИПАЛЬНОГО РАЙОНА</w:t>
      </w:r>
    </w:p>
    <w:p w:rsidR="007D3B7D" w:rsidRPr="00D47FCC" w:rsidRDefault="007D3B7D" w:rsidP="007D3B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7D3B7D" w:rsidRPr="00D47FCC" w:rsidRDefault="002106FF" w:rsidP="007D3B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15</w:t>
      </w:r>
      <w:r w:rsidR="00BD698B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D3B7D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                                                                                              №01-03/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</w:p>
    <w:p w:rsidR="002D78C9" w:rsidRPr="00D47FCC" w:rsidRDefault="002D78C9" w:rsidP="002D7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8B" w:rsidRPr="00D47FCC" w:rsidRDefault="00BD698B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D78C9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«Порядка и условий осуществления перевода</w:t>
      </w:r>
    </w:p>
    <w:p w:rsidR="00BD698B" w:rsidRPr="00D47FCC" w:rsidRDefault="00BD698B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одной организации, осуществляющей</w:t>
      </w:r>
    </w:p>
    <w:p w:rsidR="00BD698B" w:rsidRPr="00D47FCC" w:rsidRDefault="00BD698B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образовательную деятельность по </w:t>
      </w: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</w:t>
      </w:r>
      <w:proofErr w:type="gramEnd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698B" w:rsidRPr="00D47FCC" w:rsidRDefault="00BD698B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дошкольного образования, </w:t>
      </w:r>
    </w:p>
    <w:p w:rsidR="00BD698B" w:rsidRPr="00D47FCC" w:rsidRDefault="00BD698B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другие организации, осуществляющие </w:t>
      </w: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</w:t>
      </w:r>
      <w:proofErr w:type="gramEnd"/>
    </w:p>
    <w:p w:rsidR="001C697E" w:rsidRPr="00D47FCC" w:rsidRDefault="00BD698B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по образовательным программам </w:t>
      </w:r>
    </w:p>
    <w:p w:rsidR="002D78C9" w:rsidRPr="00D47FCC" w:rsidRDefault="001C697E" w:rsidP="002106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="00BD698B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Нюксенского муниципального района»</w:t>
      </w:r>
      <w:r w:rsidR="002D78C9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D698B" w:rsidRPr="00D47FCC" w:rsidRDefault="00BD698B" w:rsidP="002D78C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698B" w:rsidRPr="00D47FCC" w:rsidRDefault="002D78C9" w:rsidP="00D47FC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15 части 1 и частью 9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</w:t>
      </w:r>
      <w:proofErr w:type="gramEnd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48, ст. </w:t>
      </w: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6165; 2014, N 6, ст. 562, ст. 566; N 19, ст. 2289; N 22, ст. 2769; N 23, ст. 2933; N 26, ст. 3388; N 30, ст. 4217, ст. 4257, ст. 4263; 2015, N 1, ст. 42, ст. 53, ст. 72; N 14, ст. 2008; N 27, ст. 3951, ст. 3989;</w:t>
      </w:r>
      <w:proofErr w:type="gramEnd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29, ст. 4339, ст. 4364; официальный интернет-портал правовой информации </w:t>
      </w:r>
      <w:hyperlink r:id="rId5" w:tgtFrame="_blank" w:tooltip="Ссылка на ресурс http://www.pravo.gov.ru" w:history="1">
        <w:r w:rsidRPr="00D47FC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</w:t>
      </w:r>
      <w:proofErr w:type="gramEnd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N 33, ст. 4386; N 37, ст. 4702; 2014, N 2, ст. 126; N 6, ст. 582; N 27, ст. 3776; 2015, N 26, ст. 3898; N 43, ст. 5976),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2D78C9" w:rsidRPr="00D47FCC" w:rsidRDefault="002D78C9" w:rsidP="00D47FC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8C9" w:rsidRPr="00D47FCC" w:rsidRDefault="001C697E" w:rsidP="00D47FC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D78C9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D78C9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осуществления перевода </w:t>
      </w:r>
      <w:proofErr w:type="gramStart"/>
      <w:r w:rsidR="002D78C9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2D78C9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</w:t>
      </w:r>
      <w:r w:rsidR="007D3B7D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Нюксенского м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 рай</w:t>
      </w:r>
      <w:r w:rsidR="007D3B7D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C697E" w:rsidRPr="00D47FCC" w:rsidRDefault="001C697E" w:rsidP="00D47FCC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2.Руководителям образовательных организаций внести дополнения  в локальные акты по приему и отчислению детей.</w:t>
      </w:r>
    </w:p>
    <w:p w:rsidR="002D78C9" w:rsidRPr="00D47FCC" w:rsidRDefault="002D78C9" w:rsidP="001C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D78C9" w:rsidRPr="00D47FCC" w:rsidRDefault="002D78C9" w:rsidP="002D7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428D" w:rsidRPr="00D47FCC" w:rsidRDefault="002D78C9" w:rsidP="002D78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образования        </w:t>
      </w:r>
      <w:r w:rsidR="007C3B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299F77" wp14:editId="08D77F69">
            <wp:extent cx="990600" cy="600075"/>
            <wp:effectExtent l="0" t="0" r="0" b="9525"/>
            <wp:docPr id="4" name="Рисунок 4" descr="F:\подпись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дпись5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A43BA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698B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2106FF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D698B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C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698B" w:rsidRPr="00D47F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Андреева</w:t>
      </w:r>
    </w:p>
    <w:p w:rsidR="00E6428D" w:rsidRPr="001C697E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8D" w:rsidRPr="001C697E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8D" w:rsidRPr="001C697E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8D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8D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8D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28D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8C9" w:rsidRPr="002D78C9" w:rsidRDefault="002D78C9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6428D" w:rsidRDefault="00E6428D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97E" w:rsidRDefault="007D3B7D" w:rsidP="007D3B7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1C697E" w:rsidRDefault="001C697E" w:rsidP="007D3B7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D3B7D" w:rsidRPr="002B07CC" w:rsidRDefault="001C697E" w:rsidP="007D3B7D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3B7D">
        <w:rPr>
          <w:rFonts w:ascii="Times New Roman" w:hAnsi="Times New Roman" w:cs="Times New Roman"/>
          <w:sz w:val="24"/>
          <w:szCs w:val="24"/>
        </w:rPr>
        <w:t xml:space="preserve">   </w:t>
      </w:r>
      <w:r w:rsidR="007D3B7D" w:rsidRPr="002B07CC">
        <w:rPr>
          <w:rFonts w:ascii="Times New Roman" w:hAnsi="Times New Roman" w:cs="Times New Roman"/>
          <w:sz w:val="24"/>
          <w:szCs w:val="24"/>
        </w:rPr>
        <w:t>Утверждено</w:t>
      </w:r>
    </w:p>
    <w:p w:rsidR="007D3B7D" w:rsidRPr="002B07CC" w:rsidRDefault="007D3B7D" w:rsidP="007D3B7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2106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B07CC">
        <w:rPr>
          <w:rFonts w:ascii="Times New Roman" w:hAnsi="Times New Roman" w:cs="Times New Roman"/>
          <w:sz w:val="24"/>
          <w:szCs w:val="24"/>
        </w:rPr>
        <w:t>Приказом</w:t>
      </w:r>
      <w:r>
        <w:rPr>
          <w:rFonts w:ascii="Times New Roman" w:hAnsi="Times New Roman" w:cs="Times New Roman"/>
          <w:sz w:val="24"/>
          <w:szCs w:val="24"/>
        </w:rPr>
        <w:t xml:space="preserve"> начальника</w:t>
      </w:r>
      <w:r w:rsidRPr="002B07CC">
        <w:rPr>
          <w:rFonts w:ascii="Times New Roman" w:hAnsi="Times New Roman" w:cs="Times New Roman"/>
          <w:sz w:val="24"/>
          <w:szCs w:val="24"/>
        </w:rPr>
        <w:t xml:space="preserve"> управления образования</w:t>
      </w:r>
    </w:p>
    <w:p w:rsidR="007D3B7D" w:rsidRDefault="007D3B7D" w:rsidP="007D3B7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администрации Ню</w:t>
      </w:r>
      <w:r w:rsidRPr="002B07CC">
        <w:rPr>
          <w:rFonts w:ascii="Times New Roman" w:hAnsi="Times New Roman" w:cs="Times New Roman"/>
          <w:sz w:val="24"/>
          <w:szCs w:val="24"/>
        </w:rPr>
        <w:t>ксенского  муниципального</w:t>
      </w:r>
    </w:p>
    <w:p w:rsidR="007D3B7D" w:rsidRPr="002B07CC" w:rsidRDefault="007D3B7D" w:rsidP="007D3B7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C697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106FF">
        <w:rPr>
          <w:rFonts w:ascii="Times New Roman" w:hAnsi="Times New Roman" w:cs="Times New Roman"/>
          <w:sz w:val="24"/>
          <w:szCs w:val="24"/>
        </w:rPr>
        <w:t xml:space="preserve">    </w:t>
      </w:r>
      <w:r w:rsidR="001C697E">
        <w:rPr>
          <w:rFonts w:ascii="Times New Roman" w:hAnsi="Times New Roman" w:cs="Times New Roman"/>
          <w:sz w:val="24"/>
          <w:szCs w:val="24"/>
        </w:rPr>
        <w:t xml:space="preserve"> </w:t>
      </w:r>
      <w:r w:rsidRPr="002B07C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B07C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6FF">
        <w:rPr>
          <w:rFonts w:ascii="Times New Roman" w:hAnsi="Times New Roman" w:cs="Times New Roman"/>
          <w:sz w:val="24"/>
          <w:szCs w:val="24"/>
        </w:rPr>
        <w:t>15.04.</w:t>
      </w:r>
      <w:r w:rsidRPr="002B07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B07CC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>01-03\</w:t>
      </w:r>
      <w:r w:rsidR="002106FF">
        <w:rPr>
          <w:rFonts w:ascii="Times New Roman" w:hAnsi="Times New Roman" w:cs="Times New Roman"/>
          <w:sz w:val="24"/>
          <w:szCs w:val="24"/>
        </w:rPr>
        <w:t>102</w:t>
      </w:r>
    </w:p>
    <w:p w:rsidR="007D3B7D" w:rsidRDefault="007D3B7D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7D" w:rsidRDefault="007D3B7D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7D" w:rsidRDefault="007D3B7D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B7D" w:rsidRDefault="007D3B7D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</w:t>
      </w:r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ПЕРЕВОДА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ОДНОЙ ОРГАНИЗАЦИИ, ОСУЩЕСТВЛЯЮЩЕЙ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proofErr w:type="gramEnd"/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ПО ОБРАЗОВАТЕЛЬНЫМ ПРОГРАММАМ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proofErr w:type="gramEnd"/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ОБРАЗОВАНИЯ, В ДРУГИЕ ОРГАНИЗАЦИИ, ОСУЩЕСТВЛЯЮЩИЕ</w:t>
      </w:r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ОБРАЗОВАТЕЛЬНУЮ ДЕЯТЕЛЬНОСТЬ ПО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</w:t>
      </w:r>
      <w:proofErr w:type="gramEnd"/>
    </w:p>
    <w:p w:rsidR="002D78C9" w:rsidRPr="002D78C9" w:rsidRDefault="002D78C9" w:rsidP="008838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</w:t>
      </w:r>
      <w:r w:rsidR="001C6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</w:t>
      </w:r>
    </w:p>
    <w:p w:rsidR="002D78C9" w:rsidRPr="002D78C9" w:rsidRDefault="00EC096B" w:rsidP="00E64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НЮКСЕНСКОГО МУНИЦИПАЛЬНОГО РАЙОНА</w:t>
      </w:r>
    </w:p>
    <w:p w:rsidR="0088383B" w:rsidRDefault="0088383B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83B" w:rsidRDefault="002F314E" w:rsidP="00883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разработан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«Поряд</w:t>
      </w:r>
      <w:r w:rsidR="00EC096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C096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EC096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(приказ министерства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и науки  № 1527 от</w:t>
      </w:r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28.12.2015 года)</w:t>
      </w:r>
      <w:proofErr w:type="gramStart"/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15 части 1 и частью 9 статьи 34 Федерального закона от 29 декабря 2012 </w:t>
      </w:r>
      <w:proofErr w:type="gramStart"/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</w:t>
      </w:r>
      <w:proofErr w:type="gramEnd"/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23, ст. 2933; N 26, ст. 3388; N 30, ст. 4217, ст. 4257, ст. 4263; 2015, N 1, ст. 42, ст. 53, ст. 72; N 14, ст. 2008; N 27, ст. 3951, ст. 3989; N 29, ст. 4339, ст. 4364; </w:t>
      </w:r>
      <w:proofErr w:type="gramStart"/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интернет-портал правовой информации </w:t>
      </w:r>
      <w:hyperlink r:id="rId7" w:history="1">
        <w:r w:rsidR="0088383B" w:rsidRPr="00A77CF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http://www.pravo.gov.ru</w:t>
        </w:r>
      </w:hyperlink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, 15 декабря 2015 г.), подпунктами 5.2.19 - 5.2.21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</w:t>
      </w:r>
      <w:proofErr w:type="gramEnd"/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88383B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2014, N 2, ст. 126; N 6, ст. 582; N 27, ст. 3776; 2015, N 26, ст. 3898; N 43, ст. 5976),</w:t>
      </w:r>
      <w:proofErr w:type="gramEnd"/>
    </w:p>
    <w:p w:rsidR="0088383B" w:rsidRDefault="0088383B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383B" w:rsidRDefault="0088383B" w:rsidP="002D78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8C9" w:rsidRPr="00846363" w:rsidRDefault="002D78C9" w:rsidP="00EC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2D78C9" w:rsidRPr="00846363" w:rsidRDefault="002D78C9" w:rsidP="002D78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</w:t>
      </w:r>
      <w:r w:rsidR="00EC096B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азования, в другие организации,</w:t>
      </w:r>
      <w:r w:rsidR="00BA43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2D78C9" w:rsidRPr="002D78C9" w:rsidRDefault="00EC096B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D78C9" w:rsidRPr="002D78C9" w:rsidRDefault="00EC096B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2D78C9" w:rsidRPr="002D78C9" w:rsidRDefault="00EC096B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лицензии.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Перевод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зависит от периода (времени) учебного года.</w:t>
      </w:r>
    </w:p>
    <w:p w:rsidR="002D78C9" w:rsidRPr="002D78C9" w:rsidRDefault="002D78C9" w:rsidP="00EC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F5C" w:rsidRDefault="00A65F5C" w:rsidP="00EC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97E" w:rsidRDefault="001C697E" w:rsidP="00EC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8C9" w:rsidRPr="00846363" w:rsidRDefault="002D78C9" w:rsidP="00EC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Перевод обучающегося по инициативе его родителей</w:t>
      </w:r>
    </w:p>
    <w:p w:rsidR="002D78C9" w:rsidRPr="00846363" w:rsidRDefault="002D78C9" w:rsidP="00EC0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(законных представителей)</w:t>
      </w:r>
    </w:p>
    <w:p w:rsidR="002D78C9" w:rsidRPr="00846363" w:rsidRDefault="002D78C9" w:rsidP="00EC0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2D78C9" w:rsidRPr="002D78C9" w:rsidRDefault="00EC096B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 выбор принимающей организации;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свободных мест в выбранной организации обращаются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Нюксенского муниципального района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принимающей организации из числа муниципальных образовательных организаций;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обращаются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рождения;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направленность группы;</w:t>
      </w:r>
    </w:p>
    <w:p w:rsidR="00846363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наименование принимающей организации. 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переезда в другую местность родителей (законных представителей) обучающегося </w:t>
      </w:r>
      <w:r w:rsidR="00846363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указывается,</w:t>
      </w: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обучающегося в порядке перевода с указанием принимающей организации.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Исходная организация выдает родителям (законным представителям) личное дело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личное дело).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Требование предоставления других документов в качестве основания для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в принимающую организацию в связи с переводом из исходной организации не допускается.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перевода.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2D78C9" w:rsidRPr="002D78C9" w:rsidRDefault="002D78C9" w:rsidP="00EC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3BE5" w:rsidRDefault="007C3BE5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5" w:rsidRDefault="007C3BE5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5" w:rsidRDefault="007C3BE5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5" w:rsidRDefault="007C3BE5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5" w:rsidRDefault="007C3BE5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8C9" w:rsidRPr="00846363" w:rsidRDefault="002D78C9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 Перевод обучающегося в случае</w:t>
      </w:r>
    </w:p>
    <w:p w:rsidR="002D78C9" w:rsidRPr="00846363" w:rsidRDefault="002D78C9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прекращения деятельности исходной организации,</w:t>
      </w:r>
    </w:p>
    <w:p w:rsidR="002D78C9" w:rsidRPr="00846363" w:rsidRDefault="002D78C9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аннулирования лицензии, в случае приостановления</w:t>
      </w:r>
    </w:p>
    <w:p w:rsidR="002D78C9" w:rsidRPr="00846363" w:rsidRDefault="002D78C9" w:rsidP="00846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3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действия лицензии</w:t>
      </w:r>
    </w:p>
    <w:p w:rsidR="002D78C9" w:rsidRPr="002D78C9" w:rsidRDefault="002D78C9" w:rsidP="00EC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8C9" w:rsidRPr="002D78C9" w:rsidRDefault="00846363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spellStart"/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уведомление на своем официальном сайте в сети Интернет: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приостановления действия лицензии - в течение пяти рабочих дней с момента внес</w:t>
      </w:r>
      <w:r w:rsidR="007B0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в Реестр лицензий сведений </w:t>
      </w: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67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приостановлении действия лицензии.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Нюксенского муниципального района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случая, указанного в пункте 1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Нюксенского муниципального района</w:t>
      </w: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указанных организаций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Исходная организация доводит до сведения родителей (законных представителей) обучающихся полученную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 Нюксенского муниципального района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получения письменных согласий родителей (законных представителей) обучающихся исходная организация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2D78C9" w:rsidRPr="002D78C9" w:rsidRDefault="002D78C9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0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приказе</w:t>
      </w: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делается </w:t>
      </w:r>
      <w:proofErr w:type="gramStart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proofErr w:type="gramEnd"/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2D78C9" w:rsidRPr="002D78C9" w:rsidRDefault="007B067C" w:rsidP="00EC096B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принимающей организации на основании переданных личных дел на обучающихся формируются новые личные дела, </w:t>
      </w:r>
      <w:proofErr w:type="gramStart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включающие</w:t>
      </w:r>
      <w:proofErr w:type="gramEnd"/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выписку из </w:t>
      </w:r>
      <w:r w:rsidR="00431D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2D78C9"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зачислении в порядке перевода, соответствующие письменные согласия родителей (законных представителей) обучающихся.</w:t>
      </w:r>
    </w:p>
    <w:p w:rsidR="002D78C9" w:rsidRPr="002D78C9" w:rsidRDefault="002D78C9" w:rsidP="00EC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D78C9" w:rsidRPr="002D78C9" w:rsidRDefault="002D78C9" w:rsidP="00EC0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8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27755" w:rsidRPr="002D78C9" w:rsidRDefault="00727755" w:rsidP="00EC096B">
      <w:pPr>
        <w:jc w:val="both"/>
      </w:pPr>
    </w:p>
    <w:sectPr w:rsidR="00727755" w:rsidRPr="002D78C9" w:rsidSect="00D47FCC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1E"/>
    <w:rsid w:val="001C697E"/>
    <w:rsid w:val="001E4278"/>
    <w:rsid w:val="002106FF"/>
    <w:rsid w:val="002D78C9"/>
    <w:rsid w:val="002F314E"/>
    <w:rsid w:val="00431DE0"/>
    <w:rsid w:val="006A13ED"/>
    <w:rsid w:val="00727755"/>
    <w:rsid w:val="007B067C"/>
    <w:rsid w:val="007C3BE5"/>
    <w:rsid w:val="007D3B7D"/>
    <w:rsid w:val="00846363"/>
    <w:rsid w:val="0088383B"/>
    <w:rsid w:val="00A65F5C"/>
    <w:rsid w:val="00BA43BA"/>
    <w:rsid w:val="00BD698B"/>
    <w:rsid w:val="00BE371E"/>
    <w:rsid w:val="00D47FCC"/>
    <w:rsid w:val="00E6428D"/>
    <w:rsid w:val="00E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83B"/>
    <w:rPr>
      <w:color w:val="0000FF" w:themeColor="hyperlink"/>
      <w:u w:val="single"/>
    </w:rPr>
  </w:style>
  <w:style w:type="paragraph" w:customStyle="1" w:styleId="ConsPlusNormal">
    <w:name w:val="ConsPlusNormal"/>
    <w:rsid w:val="007D3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83B"/>
    <w:rPr>
      <w:color w:val="0000FF" w:themeColor="hyperlink"/>
      <w:u w:val="single"/>
    </w:rPr>
  </w:style>
  <w:style w:type="paragraph" w:customStyle="1" w:styleId="ConsPlusNormal">
    <w:name w:val="ConsPlusNormal"/>
    <w:rsid w:val="007D3B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B570</dc:creator>
  <cp:keywords/>
  <dc:description/>
  <cp:lastModifiedBy>1</cp:lastModifiedBy>
  <cp:revision>13</cp:revision>
  <cp:lastPrinted>2016-04-18T11:44:00Z</cp:lastPrinted>
  <dcterms:created xsi:type="dcterms:W3CDTF">2016-02-16T11:46:00Z</dcterms:created>
  <dcterms:modified xsi:type="dcterms:W3CDTF">2016-04-19T13:43:00Z</dcterms:modified>
</cp:coreProperties>
</file>